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vi-VN"/>
        </w:rPr>
        <w:t>PHỤ LỤC VI</w:t>
      </w:r>
    </w:p>
    <w:p w:rsidR="003F3857" w:rsidRDefault="003F3857" w:rsidP="003F3857">
      <w:pPr>
        <w:pStyle w:val="NormalWeb"/>
        <w:shd w:val="clear" w:color="auto" w:fill="FFFFFF"/>
        <w:spacing w:before="0" w:beforeAutospacing="0" w:after="0" w:afterAutospacing="0" w:line="335" w:lineRule="atLeast"/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bookmark69"/>
      <w:r>
        <w:rPr>
          <w:rFonts w:ascii="Arial" w:hAnsi="Arial" w:cs="Arial"/>
          <w:color w:val="000000"/>
          <w:sz w:val="20"/>
          <w:szCs w:val="20"/>
          <w:lang w:val="vi-VN"/>
        </w:rPr>
        <w:t>MẪU VĂN KIỆN PHI DỰ ÁN SỬ DỤNG VỐN ODA KHÔNG HOÀN LẠI</w:t>
      </w:r>
      <w:r>
        <w:rPr>
          <w:rFonts w:ascii="Arial" w:hAnsi="Arial" w:cs="Arial"/>
          <w:color w:val="000000"/>
          <w:sz w:val="20"/>
          <w:szCs w:val="20"/>
          <w:lang w:val="vi-VN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(Kèm theo Nghị định số 56/2020/NĐ-CP ngày 25 tháng 5 năm 2020 của Chính phủ)</w:t>
      </w:r>
      <w:bookmarkEnd w:id="0"/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I. THÔNG TIN CƠ BẢN VỀ DỰ ÁN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1. Tên dự án (tiếng Việt và tiếng Anh).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2. Cơ quan chủ quản, đơn vị đề xuất và chủ dự án (dự kiến): Tên, địa chỉ và các thông tin liên quan khác.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3. Nhà tài trợ và đồng tài trợ nước ngoài (nếu có) dự kiến hỗ trợ thực hiện chương trình.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4. Thời gian dự kiến.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5. Địa điểm thực hiện.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II. NHU CẦU VỀ KHOẢN PHI DỰ ÁN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1. Nêu sự cần thiết và nhu cầu tài trợ đối với phi dự án.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2. Cơ sở đề xuất nhà tài trợ nước ngoài.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III. MỤC TIÊU VÀ NỘI DUNG CỦA PHI DỰ ÁN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Nêu rõ mục tiêu tổng quát, mục tiêu cụ thể và nội dung của phi dự án.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IV. TỔ CHỨC QUẢN LÝ THỰC HIỆN PHI DỰ ÁN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Nêu rõ cơ chế phối hợp giữa các bên tham gia chuẩn bị thực hiện, thực hiện và quản lý phi dự án; năng lực tổ chức, quản lý thực hiện khoản phi dự án của chủ dự án.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V. TỔNG VỐN CỦA PHI DỰ ÁN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1. Vốn ODA, vốn vay ưu đãi (nguyên tệ và quy đổi ra đồng Việt Nam và đô la Mỹ).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2. Nguồn và vốn đối ứng (đồng Việt Nam và quy đổi ra đô la Mỹ).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3. Cơ chế tài chính.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VI. ĐIỀU KIỆN RÀNG BUỘC VỀ SỬ DỤNG VỐN ODA KHÔNG HOÀN LẠI CỦA NHÀ TÀI TRỢ NƯỚC NGOÀI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Giải trình về những điều kiện ràng buộc về sử dụng vốn ODA không hoàn lại của nhà tài trợ nước ngoài (nếu có)./.</w:t>
      </w:r>
    </w:p>
    <w:p w:rsidR="003F3857" w:rsidRDefault="003F3857" w:rsidP="003F3857">
      <w:pPr>
        <w:pStyle w:val="NormalWeb"/>
        <w:shd w:val="clear" w:color="auto" w:fill="FFFFFF"/>
        <w:spacing w:before="120" w:beforeAutospacing="0" w:after="120" w:afterAutospacing="0" w:line="335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 </w:t>
      </w:r>
    </w:p>
    <w:p w:rsidR="00EE0BF6" w:rsidRDefault="00EE0BF6"/>
    <w:sectPr w:rsidR="00EE0BF6" w:rsidSect="00EE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3F3857"/>
    <w:rsid w:val="003F3857"/>
    <w:rsid w:val="00EE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2020-06-03T04:29:00Z</dcterms:created>
  <dcterms:modified xsi:type="dcterms:W3CDTF">2020-06-03T04:29:00Z</dcterms:modified>
</cp:coreProperties>
</file>